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6E" w:rsidRDefault="0043686E" w:rsidP="0043686E">
      <w:pPr>
        <w:spacing w:after="16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val="en-US" w:eastAsia="ru-RU"/>
        </w:rPr>
      </w:pPr>
      <w:r w:rsidRPr="0043686E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Понятие целевых субсидий в бюджетном учреждении</w:t>
      </w:r>
    </w:p>
    <w:p w:rsidR="0043686E" w:rsidRPr="0043686E" w:rsidRDefault="0043686E" w:rsidP="0043686E">
      <w:pPr>
        <w:spacing w:after="16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val="en-US" w:eastAsia="ru-RU"/>
        </w:rPr>
      </w:pP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Целевые субсидии бюджетным учреждениям – это материальная помощь организациям от государства. Средства выделяются на определенные потребности предприятия. Деньги осваиваются, составляется отчет, который предоставляется вышестоящим инстанциям.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Целевые субсидии – денежные ассигнования, выдаваемые уполномоченными органами некоммерческим предприятиям из федерального, регионального бюджета на определенные нужды. Чтобы получить матпомощь, учреждение представляет на рассмотрение комиссии проект, в котором подробно рассказывает о том, на какие цели нужны средства. Если план не получил одобрение, в выделении ассигнований отказывают.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Предоставление целевых преференций некоммерческим предприятиям регламентируются следующими статьями БК РФ:</w:t>
      </w:r>
    </w:p>
    <w:p w:rsidR="0043686E" w:rsidRPr="0043686E" w:rsidRDefault="0043686E" w:rsidP="0043686E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4368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№78.1.</w:t>
        </w:r>
      </w:hyperlink>
      <w:r w:rsidRPr="0043686E">
        <w:rPr>
          <w:rFonts w:ascii="Times New Roman" w:hAnsi="Times New Roman" w:cs="Times New Roman"/>
          <w:sz w:val="24"/>
          <w:szCs w:val="24"/>
        </w:rPr>
        <w:t> Здесь говорится о выделении преференций некоммерческим организациям, которые не относятся к казенным учреждениям.</w:t>
      </w:r>
    </w:p>
    <w:p w:rsidR="0043686E" w:rsidRPr="0043686E" w:rsidRDefault="0043686E" w:rsidP="0043686E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4368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№79.</w:t>
        </w:r>
      </w:hyperlink>
      <w:r w:rsidRPr="0043686E">
        <w:rPr>
          <w:rFonts w:ascii="Times New Roman" w:hAnsi="Times New Roman" w:cs="Times New Roman"/>
          <w:sz w:val="24"/>
          <w:szCs w:val="24"/>
        </w:rPr>
        <w:t> В этой статье освещается вопрос вложений из бюджета в предприятия муниципальной, государственной собственности.</w:t>
      </w:r>
    </w:p>
    <w:p w:rsidR="0043686E" w:rsidRDefault="0043686E" w:rsidP="0043686E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При выделении субсидий руководствуются и федеральными, региональными законами, Постановлениями Правительства.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Учреждение может запрашивать инвестиции практически на любые цели, не противоречащие действующему законодательству. Главное – получить одобрение комиссии.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Целевая преференция выделяется юридическим лицам, работающим на бюджетной основе, автономным учреждениям. Предоставляемые денежные ассигнования расходуются на цели, указанные в проекте. Если после освоения остаются средства, они отправляются обратно в бюджет. После расходования денег составляется отчет, который предоставляется контролирующему органу.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Цели и назначения выплат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Цели преференций: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выполнение капитальных реконструкций зданий, находящихся в ведении учреждения;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приобретение новых площадей;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покупка нового оборудования;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компенсация расходов на восстановление объектов, пострадавших от аварий, иных чрезвычайных обстоятельств;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составление основных фондов, на формировании которых требуется более 2000000 руб., в том числе на обустройство прилегающих территорий;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закрытие долгов по оплате услуг ЖКХ;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lastRenderedPageBreak/>
        <w:t>реализация государственного заказа;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возмещение расходов, связанных с переездом, транспортировкой;</w:t>
      </w:r>
    </w:p>
    <w:p w:rsidR="0043686E" w:rsidRPr="0043686E" w:rsidRDefault="0043686E" w:rsidP="0043686E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приобретение особо ценных объектов движимого имущества, стоимостью более 2000000 руб.</w:t>
      </w:r>
    </w:p>
    <w:p w:rsidR="0043686E" w:rsidRDefault="0043686E" w:rsidP="0043686E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Организация может запрашивать выделение целевой субсидии и в других целях. Главное, чтобы учреждению требовалась большая сумма, имелось веское основание для ее получения. Такие обращения рассматриваются индивидуально.</w:t>
      </w:r>
    </w:p>
    <w:p w:rsid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Кто может претендовать на </w:t>
      </w:r>
      <w:proofErr w:type="spellStart"/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госпомощь</w:t>
      </w:r>
      <w:proofErr w:type="spellEnd"/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Целевая субсидия предоставляется:</w:t>
      </w:r>
    </w:p>
    <w:p w:rsidR="0043686E" w:rsidRPr="0043686E" w:rsidRDefault="0043686E" w:rsidP="0043686E">
      <w:pPr>
        <w:numPr>
          <w:ilvl w:val="0"/>
          <w:numId w:val="4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государственным, муниципальным предприятиям, работающим на деньги, выделяемые из федерального, регионального бюджета;</w:t>
      </w:r>
    </w:p>
    <w:p w:rsidR="0043686E" w:rsidRPr="0043686E" w:rsidRDefault="0043686E" w:rsidP="0043686E">
      <w:pPr>
        <w:numPr>
          <w:ilvl w:val="0"/>
          <w:numId w:val="4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автономным организациям, которые обосновывают необходимость получения денежных ассигнований.</w:t>
      </w:r>
    </w:p>
    <w:p w:rsid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Как происходит субсидирование бюджетных учреждений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Порядок субсидирования автономных, муниципальных организаций регламентирован действующим законодательством. Чтобы получить преференции, необходимо удовлетворять заявленным требованиям, соблюдать установленный алгоритм действий. Для этого собирают пакет документов, передать их на рассмотрение в уполномоченный орган. Период обращения рассмотрения – 30 дней.</w:t>
      </w:r>
    </w:p>
    <w:p w:rsidR="0043686E" w:rsidRDefault="0043686E" w:rsidP="0043686E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Pr="0043686E" w:rsidRDefault="0043686E" w:rsidP="0043686E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Автономных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Чтобы получить финансирование на определенные нужды автономному предприятию, придерживаются следующего алгоритма действий:</w:t>
      </w:r>
    </w:p>
    <w:p w:rsidR="0043686E" w:rsidRPr="0043686E" w:rsidRDefault="0043686E" w:rsidP="0043686E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Составление бизнес-плана, сбор документов.</w:t>
      </w:r>
    </w:p>
    <w:p w:rsidR="0043686E" w:rsidRPr="0043686E" w:rsidRDefault="0043686E" w:rsidP="0043686E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Передача пакета на рассмотрение в вышестоящую организацию, занимающуюся вопросами преференций.</w:t>
      </w:r>
    </w:p>
    <w:p w:rsidR="0043686E" w:rsidRPr="0043686E" w:rsidRDefault="0043686E" w:rsidP="0043686E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Рассмотрение проекта на комиссии.</w:t>
      </w:r>
    </w:p>
    <w:p w:rsidR="0043686E" w:rsidRPr="0043686E" w:rsidRDefault="0043686E" w:rsidP="0043686E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Получение, освоение дотации.</w:t>
      </w:r>
    </w:p>
    <w:p w:rsidR="0043686E" w:rsidRPr="0043686E" w:rsidRDefault="0043686E" w:rsidP="0043686E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Формирование, передача отчета о расходах денежных ассигнований.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Тратить деньги разрешено только по назначению. Если после этого осталась сумма, то расходовать ее в других целях, не указанных в проекте, нельзя. Они отправляются обратно в бюджет. Исключение – выделение денежных ассигнований на реализацию государственного заказа. Здесь сумма остается в учреждении, переносится на следующий год до полного освоения.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После завершения расходования дотации составляется акт целевого использования денежных ассигнований.</w:t>
      </w:r>
    </w:p>
    <w:p w:rsidR="0043686E" w:rsidRPr="0043686E" w:rsidRDefault="0043686E" w:rsidP="0043686E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Муниципальных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Порядок субсидирования муниципальных организаций не отличается от алгоритма выделения преференций автономным предприятиям. Формируется проект, передается на рассмотрение в комиссию, поступление, освоение денег при положительном ответе. По итогам составляется отчет.</w:t>
      </w:r>
    </w:p>
    <w:p w:rsid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Порядок оформления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Алгоритм оформления целевой субсидии: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Составление проекта, в котором указывается цели субсидирования с подробным обоснованием в необходимости выделения дотаций.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Передача заявления, пакета документов в уполномоченный орган.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Созыв комиссии, которая рассматривает обращение организации.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Определение даты рассмотрения проекта.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Выступление ответственного лица перед комиссией с подробным описанием бизнес-плана.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Ожидание принятия решения.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Освоение средств – при положительном ответе.</w:t>
      </w:r>
    </w:p>
    <w:p w:rsidR="0043686E" w:rsidRPr="0043686E" w:rsidRDefault="0043686E" w:rsidP="0043686E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Составление отчета уполномоченного органа о расходовании денежных ассигнований.</w:t>
      </w:r>
    </w:p>
    <w:p w:rsidR="0043686E" w:rsidRPr="0043686E" w:rsidRDefault="0043686E" w:rsidP="004368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86E">
        <w:rPr>
          <w:rFonts w:ascii="Times New Roman" w:hAnsi="Times New Roman" w:cs="Times New Roman"/>
          <w:sz w:val="24"/>
          <w:szCs w:val="24"/>
        </w:rPr>
        <w:t>Срок рассмотрения заявки – 1 месяц, если средства выделяются из регионального бюджета, 2 месяца – из федерального.</w:t>
      </w:r>
      <w:proofErr w:type="gramEnd"/>
    </w:p>
    <w:p w:rsidR="0043686E" w:rsidRDefault="0043686E" w:rsidP="0043686E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После утверждения уполномоченным органом факта передачи средств организации, сведения о выделении денежных ассигнований передается в казначейство.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Здесь проверяется следующая информация:</w:t>
      </w:r>
    </w:p>
    <w:p w:rsidR="0043686E" w:rsidRPr="0043686E" w:rsidRDefault="0043686E" w:rsidP="0043686E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код преференции;</w:t>
      </w:r>
    </w:p>
    <w:p w:rsidR="0043686E" w:rsidRPr="0043686E" w:rsidRDefault="0043686E" w:rsidP="0043686E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размер дотации;</w:t>
      </w:r>
    </w:p>
    <w:p w:rsidR="0043686E" w:rsidRPr="0043686E" w:rsidRDefault="0043686E" w:rsidP="0043686E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цели, указанные в заявке;</w:t>
      </w:r>
    </w:p>
    <w:p w:rsidR="0043686E" w:rsidRPr="0043686E" w:rsidRDefault="0043686E" w:rsidP="0043686E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остаток суммы на счете учреждения после предыдущих выплат;</w:t>
      </w:r>
    </w:p>
    <w:p w:rsidR="0043686E" w:rsidRPr="0043686E" w:rsidRDefault="0043686E" w:rsidP="0043686E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какие операции совершаются по счету.</w:t>
      </w:r>
    </w:p>
    <w:p w:rsidR="0043686E" w:rsidRDefault="0043686E" w:rsidP="0043686E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Если у казначейства не возникает претензий по указанным пунктам, сумма переводится на счет просителя.</w:t>
      </w:r>
    </w:p>
    <w:p w:rsid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Default="0043686E" w:rsidP="0043686E">
      <w:pPr>
        <w:rPr>
          <w:lang w:val="en-US"/>
        </w:rPr>
      </w:pPr>
    </w:p>
    <w:p w:rsidR="0043686E" w:rsidRDefault="0043686E" w:rsidP="0043686E">
      <w:pPr>
        <w:rPr>
          <w:lang w:val="en-US"/>
        </w:rPr>
      </w:pPr>
    </w:p>
    <w:p w:rsidR="0043686E" w:rsidRPr="0043686E" w:rsidRDefault="0043686E" w:rsidP="0043686E">
      <w:pPr>
        <w:rPr>
          <w:lang w:val="en-US"/>
        </w:rPr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Формы документов и акт проверки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Чтобы получить целевую субсидию, руководитель составляет заявку, в которой указывает цель получения денежных ассигнований и размер дотации.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Основной документ, на основании которого выделяют субсидию, – проект. Здесь подробно расписывают обоснование получения преференции, составляют смету расходов.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По итогам освоения дотации составляется акт расходования ассигнований. В документе указывают:</w:t>
      </w:r>
    </w:p>
    <w:p w:rsidR="0043686E" w:rsidRPr="0043686E" w:rsidRDefault="0043686E" w:rsidP="0043686E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наименование организации, получившей дотацию;</w:t>
      </w:r>
    </w:p>
    <w:p w:rsidR="0043686E" w:rsidRPr="0043686E" w:rsidRDefault="0043686E" w:rsidP="0043686E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цели получения преференции, которые были обозначены в бизнес-плане;</w:t>
      </w:r>
    </w:p>
    <w:p w:rsidR="0043686E" w:rsidRPr="0043686E" w:rsidRDefault="0043686E" w:rsidP="0043686E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размер выделенной дотации;</w:t>
      </w:r>
    </w:p>
    <w:p w:rsidR="0043686E" w:rsidRPr="0043686E" w:rsidRDefault="0043686E" w:rsidP="0043686E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израсходованную сумму;</w:t>
      </w:r>
    </w:p>
    <w:p w:rsidR="0043686E" w:rsidRPr="0043686E" w:rsidRDefault="0043686E" w:rsidP="0043686E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размер остатка средств – при наличии;</w:t>
      </w:r>
    </w:p>
    <w:p w:rsidR="0043686E" w:rsidRPr="0043686E" w:rsidRDefault="0043686E" w:rsidP="0043686E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ФИО, должность составителя акта.</w:t>
      </w:r>
    </w:p>
    <w:p w:rsidR="0043686E" w:rsidRDefault="0043686E" w:rsidP="0043686E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На документе ставят дату формирования, подпись уполномоченного лица, печать организации.</w:t>
      </w:r>
    </w:p>
    <w:p w:rsid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В каких случаях могут отказать</w:t>
      </w:r>
    </w:p>
    <w:p w:rsidR="0043686E" w:rsidRPr="0043686E" w:rsidRDefault="0043686E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Причины отказа:</w:t>
      </w:r>
    </w:p>
    <w:p w:rsidR="0043686E" w:rsidRPr="0043686E" w:rsidRDefault="0043686E" w:rsidP="0043686E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дефицит бюджета;</w:t>
      </w:r>
    </w:p>
    <w:p w:rsidR="0043686E" w:rsidRPr="0043686E" w:rsidRDefault="0043686E" w:rsidP="0043686E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неправильно составленный проект;</w:t>
      </w:r>
    </w:p>
    <w:p w:rsidR="0043686E" w:rsidRPr="0043686E" w:rsidRDefault="0043686E" w:rsidP="0043686E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86E">
        <w:rPr>
          <w:rFonts w:ascii="Times New Roman" w:hAnsi="Times New Roman" w:cs="Times New Roman"/>
          <w:sz w:val="24"/>
          <w:szCs w:val="24"/>
        </w:rPr>
        <w:t>уполномоченный представитель не смог доказать потребность предприятия в дотации.</w:t>
      </w:r>
    </w:p>
    <w:p w:rsid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43686E" w:rsidRPr="0043686E" w:rsidRDefault="0043686E" w:rsidP="0043686E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6E">
        <w:rPr>
          <w:rFonts w:ascii="Times New Roman" w:hAnsi="Times New Roman" w:cs="Times New Roman"/>
          <w:bCs w:val="0"/>
          <w:color w:val="auto"/>
          <w:sz w:val="24"/>
          <w:szCs w:val="24"/>
        </w:rPr>
        <w:t>Советы и помощь юристов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Если возникают вопросы о получении, освоении целевых преференций, можно обратиться к юристу. Профессионал расскажет, что именно делать до получения дотации, как правильно освоить средства, сформировать отчет.</w:t>
      </w:r>
    </w:p>
    <w:p w:rsidR="0043686E" w:rsidRPr="0043686E" w:rsidRDefault="0043686E" w:rsidP="0043686E">
      <w:pPr>
        <w:pStyle w:val="a3"/>
        <w:spacing w:before="0" w:beforeAutospacing="0" w:after="183" w:afterAutospacing="0"/>
        <w:ind w:firstLine="567"/>
        <w:jc w:val="both"/>
      </w:pPr>
      <w:r w:rsidRPr="0043686E">
        <w:t>Целевые субсидии бюджетным учреждениям – деньги, выделяемые из федерального, регионального бюджета на определенные потребности некоммерческих организаций. Деньги предоставляются государственным, муниципальным, автономным предприятиям. По итогам освоения суммы составляется отчет.</w:t>
      </w:r>
    </w:p>
    <w:p w:rsidR="007B64C9" w:rsidRPr="0043686E" w:rsidRDefault="007B64C9" w:rsidP="00436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64C9" w:rsidRPr="0043686E" w:rsidSect="007B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B22"/>
    <w:multiLevelType w:val="multilevel"/>
    <w:tmpl w:val="E5F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A624F"/>
    <w:multiLevelType w:val="multilevel"/>
    <w:tmpl w:val="534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36724"/>
    <w:multiLevelType w:val="multilevel"/>
    <w:tmpl w:val="1608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010C6"/>
    <w:multiLevelType w:val="multilevel"/>
    <w:tmpl w:val="4784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02FE3"/>
    <w:multiLevelType w:val="multilevel"/>
    <w:tmpl w:val="C7E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41874"/>
    <w:multiLevelType w:val="multilevel"/>
    <w:tmpl w:val="B42C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B218F"/>
    <w:multiLevelType w:val="multilevel"/>
    <w:tmpl w:val="2CE2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C7F51"/>
    <w:multiLevelType w:val="multilevel"/>
    <w:tmpl w:val="2960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872D2"/>
    <w:multiLevelType w:val="multilevel"/>
    <w:tmpl w:val="713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686E"/>
    <w:rsid w:val="0043686E"/>
    <w:rsid w:val="007B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C9"/>
  </w:style>
  <w:style w:type="paragraph" w:styleId="1">
    <w:name w:val="heading 1"/>
    <w:basedOn w:val="a"/>
    <w:link w:val="10"/>
    <w:uiPriority w:val="9"/>
    <w:qFormat/>
    <w:rsid w:val="0043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8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8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43686E"/>
  </w:style>
  <w:style w:type="character" w:customStyle="1" w:styleId="20">
    <w:name w:val="Заголовок 2 Знак"/>
    <w:basedOn w:val="a0"/>
    <w:link w:val="2"/>
    <w:uiPriority w:val="9"/>
    <w:semiHidden/>
    <w:rsid w:val="00436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368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3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43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686E"/>
    <w:rPr>
      <w:color w:val="0000FF"/>
      <w:u w:val="single"/>
    </w:rPr>
  </w:style>
  <w:style w:type="character" w:customStyle="1" w:styleId="tocnumber">
    <w:name w:val="toc_number"/>
    <w:basedOn w:val="a0"/>
    <w:rsid w:val="0043686E"/>
  </w:style>
  <w:style w:type="character" w:customStyle="1" w:styleId="h-text">
    <w:name w:val="h-text"/>
    <w:basedOn w:val="a0"/>
    <w:rsid w:val="0043686E"/>
  </w:style>
  <w:style w:type="paragraph" w:customStyle="1" w:styleId="title">
    <w:name w:val="title"/>
    <w:basedOn w:val="a"/>
    <w:rsid w:val="0043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s-pagination-label">
    <w:name w:val="bs-pagination-label"/>
    <w:basedOn w:val="a0"/>
    <w:rsid w:val="00436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374">
          <w:marLeft w:val="0"/>
          <w:marRight w:val="0"/>
          <w:marTop w:val="0"/>
          <w:marBottom w:val="24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  <w:div w:id="1712270334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72522062">
          <w:marLeft w:val="0"/>
          <w:marRight w:val="0"/>
          <w:marTop w:val="0"/>
          <w:marBottom w:val="215"/>
          <w:divBdr>
            <w:top w:val="single" w:sz="4" w:space="8" w:color="BCE8F1"/>
            <w:left w:val="single" w:sz="4" w:space="8" w:color="BCE8F1"/>
            <w:bottom w:val="single" w:sz="4" w:space="8" w:color="BCE8F1"/>
            <w:right w:val="single" w:sz="4" w:space="8" w:color="BCE8F1"/>
          </w:divBdr>
        </w:div>
        <w:div w:id="1385253119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76065716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360399312">
          <w:marLeft w:val="0"/>
          <w:marRight w:val="0"/>
          <w:marTop w:val="107"/>
          <w:marBottom w:val="161"/>
          <w:divBdr>
            <w:top w:val="single" w:sz="4" w:space="2" w:color="auto"/>
            <w:left w:val="single" w:sz="2" w:space="0" w:color="auto"/>
            <w:bottom w:val="single" w:sz="4" w:space="0" w:color="auto"/>
            <w:right w:val="single" w:sz="2" w:space="0" w:color="auto"/>
          </w:divBdr>
          <w:divsChild>
            <w:div w:id="204768263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983">
                      <w:marLeft w:val="0"/>
                      <w:marRight w:val="0"/>
                      <w:marTop w:val="0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4308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525336918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678575182">
          <w:marLeft w:val="0"/>
          <w:marRight w:val="0"/>
          <w:marTop w:val="0"/>
          <w:marBottom w:val="215"/>
          <w:divBdr>
            <w:top w:val="single" w:sz="4" w:space="8" w:color="FAEBCC"/>
            <w:left w:val="single" w:sz="4" w:space="8" w:color="FAEBCC"/>
            <w:bottom w:val="single" w:sz="4" w:space="8" w:color="FAEBCC"/>
            <w:right w:val="single" w:sz="4" w:space="8" w:color="FAEBCC"/>
          </w:divBdr>
        </w:div>
        <w:div w:id="1561018106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331132808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817769527">
          <w:marLeft w:val="0"/>
          <w:marRight w:val="0"/>
          <w:marTop w:val="107"/>
          <w:marBottom w:val="161"/>
          <w:divBdr>
            <w:top w:val="single" w:sz="4" w:space="2" w:color="auto"/>
            <w:left w:val="single" w:sz="2" w:space="0" w:color="auto"/>
            <w:bottom w:val="single" w:sz="4" w:space="0" w:color="auto"/>
            <w:right w:val="single" w:sz="2" w:space="0" w:color="auto"/>
          </w:divBdr>
          <w:divsChild>
            <w:div w:id="83029066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0647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</w:divsChild>
    </w:div>
    <w:div w:id="671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702/ac6c532ee1f365c6e1ff222f22b3f10587918494/" TargetMode="External"/><Relationship Id="rId5" Type="http://schemas.openxmlformats.org/officeDocument/2006/relationships/hyperlink" Target="http://www.consultant.ru/document/cons_doc_LAW_19702/2a2fd8efeffb727e38658d8fcbfc12849b3527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6095</Characters>
  <Application>Microsoft Office Word</Application>
  <DocSecurity>0</DocSecurity>
  <Lines>50</Lines>
  <Paragraphs>14</Paragraphs>
  <ScaleCrop>false</ScaleCrop>
  <Company>ООО "МОК-Центр"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2020-08-28T08:04:00Z</dcterms:created>
  <dcterms:modified xsi:type="dcterms:W3CDTF">2020-08-28T08:06:00Z</dcterms:modified>
</cp:coreProperties>
</file>