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F" w:rsidRDefault="008A15FF" w:rsidP="008A15F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A15F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Утверждение порядка оценки эффективности налоговых льгот</w:t>
      </w:r>
    </w:p>
    <w:p w:rsidR="008A15FF" w:rsidRPr="008A15FF" w:rsidRDefault="008A15FF" w:rsidP="008A15F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 xml:space="preserve">Налоговая система выполняет не только фискальную, но и стимулирующую функцию в экономике. Для поддержки граждан и значимых отраслей экономики региональные власти разрабатывают и утверждают налоговые льготы. Каждая мера господдержки должна регулярно анализироваться на предмет </w:t>
      </w:r>
      <w:proofErr w:type="spellStart"/>
      <w:r w:rsidRPr="008A15FF">
        <w:t>востребованности</w:t>
      </w:r>
      <w:proofErr w:type="spellEnd"/>
      <w:r w:rsidRPr="008A15FF">
        <w:t>, бюджетной и социально-экономической эффективности.</w:t>
      </w:r>
    </w:p>
    <w:p w:rsid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Общие положения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Возможность введения послаблений по налогам и сборам предусмотрена </w:t>
      </w:r>
      <w:hyperlink r:id="rId5" w:tgtFrame="_blank" w:history="1">
        <w:r w:rsidRPr="008A15FF">
          <w:rPr>
            <w:rStyle w:val="a4"/>
            <w:color w:val="auto"/>
          </w:rPr>
          <w:t>ст.56 НК</w:t>
        </w:r>
      </w:hyperlink>
      <w:r w:rsidRPr="008A15FF">
        <w:t>. Налоговые льготы предоставляются регионами в виде сниженной или обнуленной ставки, либо в сокращении налогооблагаемой базы. Для оценки их эффективности регионы внедряют собственные модели и критерии для анализа. Иначе высоки риски необоснованного снижения бюджетных доходов.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Методика оценки эффективности налоговых льгот, которая разработана Правительством в 2018 г., носит рекомендательный характер.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 xml:space="preserve">Муниципалитеты и российские регионы утверждают собственную методологию для проведения анализа. Примерами таких документов являются ПП Ленинградской области 2017 г. N106, ПП Оренбургской области 2017 г. No444-п, ПП Москвы </w:t>
      </w:r>
      <w:proofErr w:type="spellStart"/>
      <w:r w:rsidRPr="008A15F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632-ПП от 2011 г.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Оценка эффективности налоговых послаблений нужна субъектам для определения достижения поставленных перед регионом задач. К таким целевым ориентирам причисляют: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 xml:space="preserve">рост налогооблагаемой базы, что ведет к росту </w:t>
      </w: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пополняемости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стимулирование к инвестициям компаний в целях расширения, технологического обновления, увеличения производства, создания новых рабочих мест;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господдержа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социально-экономической сферы;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рост инноваций;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поддержка производства социально значимой продукции и компаний, привлекающих к работе инвалидов;</w:t>
      </w:r>
    </w:p>
    <w:p w:rsidR="008A15FF" w:rsidRPr="008A15FF" w:rsidRDefault="008A15FF" w:rsidP="008A15F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помощь социально незащищенным категориям граждан.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Муниципалитеты и субъекты РФ назначают уполномоченную инстанцию для аналитических мероприятий и предоставления отчетности по итогам в федеральный центр. Сроки передачи сведений варьируются по регионам.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Представленная регионами информация проверяется Минфином на предмет достоверности, корректности и полноты оценочных мероприятий. По результатам размещается сводная отчетность по РФ (не позднее 1 октября текущего года) в свободном доступе.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Объекты оценки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В ходе анализа объекты оценки разделяют на три группы:</w:t>
      </w:r>
    </w:p>
    <w:p w:rsidR="008A15FF" w:rsidRPr="008A15FF" w:rsidRDefault="008A15FF" w:rsidP="008A1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Социальная группа – получателями поддержки выступают отдельные незащищенные категории граждан и НКО. Отличительной чертой социальных преференций является то, что они не предполагают стимулирование экономической активности и рост налоговых поступлений, но улучшаю уровень и качество жизни населения.</w:t>
      </w:r>
    </w:p>
    <w:p w:rsidR="008A15FF" w:rsidRPr="008A15FF" w:rsidRDefault="008A15FF" w:rsidP="008A1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Финансовая группа – предполагает уменьшение встречных бюджетных потоков. Данные меры господдержки снижают фискальную нагрузку на налогоплательщиков и их расходы компенсируются из бюджета, но в результате это дает позитивный экономический эффект.</w:t>
      </w:r>
    </w:p>
    <w:p w:rsidR="008A15FF" w:rsidRPr="008A15FF" w:rsidRDefault="008A15FF" w:rsidP="008A1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 xml:space="preserve">Стимулирующая группа – предполагает рост экономической активности и увеличение </w:t>
      </w: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пополняемости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A15FF" w:rsidRPr="008A15FF" w:rsidRDefault="008A15FF" w:rsidP="008A1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В числе важнейших анализируемых параметров в рамках каждой группы выступают:</w:t>
      </w:r>
    </w:p>
    <w:p w:rsidR="008A15FF" w:rsidRPr="008A15FF" w:rsidRDefault="008A15FF" w:rsidP="008A15F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перечень налогоплательщиков, которые воспользовались налоговыми льготами;</w:t>
      </w:r>
    </w:p>
    <w:p w:rsidR="008A15FF" w:rsidRPr="008A15FF" w:rsidRDefault="008A15FF" w:rsidP="008A15F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информация о сумме предоставленных преференций в разрезе получателей и в целом по российскому региону;</w:t>
      </w:r>
    </w:p>
    <w:p w:rsidR="008A15FF" w:rsidRPr="008A15FF" w:rsidRDefault="008A15FF" w:rsidP="008A15F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данные о налоговых поступлениях в бюджет.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Для оценки эффективности применяются сведения налоговой, финансовой, статистической отчетности компаний, которые поступают из Росстата и ФНС.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Оценка ведется ежегодно с учетом данных за предыдущий финансовый период.</w:t>
      </w:r>
    </w:p>
    <w:p w:rsid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Показатели и методика оценки бюджетной эффективности налоговых льгот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Бюджетная эффективность налоговых льгот определяется по их влиянию на доходы и расходы муниципалитета. При оценке учитываются следующие параметры:</w:t>
      </w:r>
    </w:p>
    <w:p w:rsidR="008A15FF" w:rsidRPr="008A15FF" w:rsidRDefault="008A15FF" w:rsidP="008A15F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сумма бюджетных потерь от реализации в регионе льготы;</w:t>
      </w:r>
    </w:p>
    <w:p w:rsidR="008A15FF" w:rsidRPr="008A15FF" w:rsidRDefault="008A15FF" w:rsidP="008A15F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общий рост численности налогоплательщиков;</w:t>
      </w:r>
    </w:p>
    <w:p w:rsidR="008A15FF" w:rsidRPr="008A15FF" w:rsidRDefault="008A15FF" w:rsidP="008A15F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прирост поступлений по налогам в бюджет из-за расширения налоговой базы;</w:t>
      </w:r>
    </w:p>
    <w:p w:rsidR="008A15FF" w:rsidRPr="008A15FF" w:rsidRDefault="008A15FF" w:rsidP="008A15F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соотношение объема недополученных доходов от преференций к годовому объему бюджетных доходов от налоговых поступлений в регионе.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При оценке бюджетной эффективности сумма налоговых поступлений за текущий год должна быть больше значения прошлого года. В некоторых регионах дополнительно учитывается индекс потребительских цен для сравнения.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 xml:space="preserve">Налоговая льгота считается эффективной для бюджета с технической точки зрения, если расходы после внедрения снизились больше доходов. Для анализа бюджетной целесообразности налоговые льготы сравниваются с альтернативными вариантами </w:t>
      </w:r>
      <w:r w:rsidRPr="008A15FF">
        <w:lastRenderedPageBreak/>
        <w:t xml:space="preserve">господдержки с позиции </w:t>
      </w:r>
      <w:proofErr w:type="spellStart"/>
      <w:r w:rsidRPr="008A15FF">
        <w:t>затратности</w:t>
      </w:r>
      <w:proofErr w:type="spellEnd"/>
      <w:r w:rsidRPr="008A15FF">
        <w:t xml:space="preserve"> (субсидиями, госгарантиями) и с мерами по совершенствованию контроля и администрирования фискальных поступлений.</w:t>
      </w:r>
    </w:p>
    <w:p w:rsid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Показатели оценки социальной эффективности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 xml:space="preserve">Социальные преференции действительны </w:t>
      </w:r>
      <w:proofErr w:type="gramStart"/>
      <w:r w:rsidRPr="008A15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15FF">
        <w:rPr>
          <w:rFonts w:ascii="Times New Roman" w:hAnsi="Times New Roman" w:cs="Times New Roman"/>
          <w:sz w:val="24"/>
          <w:szCs w:val="24"/>
        </w:rPr>
        <w:t>:</w:t>
      </w:r>
    </w:p>
    <w:p w:rsidR="008A15FF" w:rsidRPr="008A15FF" w:rsidRDefault="008A15FF" w:rsidP="008A15F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уязвимых и незащищенных категорий населения;</w:t>
      </w:r>
    </w:p>
    <w:p w:rsidR="008A15FF" w:rsidRPr="008A15FF" w:rsidRDefault="008A15FF" w:rsidP="008A15F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НКО;</w:t>
      </w:r>
    </w:p>
    <w:p w:rsidR="008A15FF" w:rsidRPr="008A15FF" w:rsidRDefault="008A15FF" w:rsidP="008A15F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организаций, поддерживающих россиян;</w:t>
      </w:r>
    </w:p>
    <w:p w:rsidR="008A15FF" w:rsidRPr="008A15FF" w:rsidRDefault="008A15FF" w:rsidP="008A15F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других групп.</w:t>
      </w:r>
    </w:p>
    <w:p w:rsidR="008A15FF" w:rsidRDefault="008A15FF" w:rsidP="008A15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5FF" w:rsidRPr="008A15FF" w:rsidRDefault="008A15FF" w:rsidP="008A1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 xml:space="preserve">Они не ведут к росту </w:t>
      </w: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пополняемости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бюджета, поэтому при оценке целесообразности учитываются нефинансовые параметры. На социальную эффективность налоговой льготы указывают: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социальной инфраструктуры.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Повышение уровня жизни, среднего заработка.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Рост социальной защищенности граждан.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Решение конкретных социально значимых задач муниципалитетом: создание новых рабочих мест, улучшение условий труда и пр.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Повышение качества и доступности оказываемых услуг в важных отраслях: транспортной, медицинской, спортивной, жилищно-коммунальной и пр.</w:t>
      </w:r>
    </w:p>
    <w:p w:rsidR="008A15FF" w:rsidRPr="008A15FF" w:rsidRDefault="008A15FF" w:rsidP="008A15FF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Улучшение экологической обстановки.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Среди количественных критериев оценки используют сравнение среднесписочной численности на предыдущий год к текущему значению; реальных располагаемых доходов граждан в двух периодах и пр.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Показатели и методика оценки экономической эффективности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Экономическую эффективность подтверждает рост рыночного сегмента, в котором предоставляется льгота, активизация бизнеса и снижение безработицы.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 оценке сравниваются отрасли, в которых действуют и отсутствуют преференции, по таким параметрам как: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прибыль до налогообложения;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инвестиции в основной капитал;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выручка;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объем оказанных платных услуг населению;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среднемесячная зарплата сотрудников;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долговые обязательства перед бюджетом;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прирост объема производства;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lastRenderedPageBreak/>
        <w:t>ввод новых мощностей;</w:t>
      </w:r>
    </w:p>
    <w:p w:rsidR="008A15FF" w:rsidRPr="008A15FF" w:rsidRDefault="008A15FF" w:rsidP="008A15FF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конкурентоспособность производства.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 xml:space="preserve">Для налогового резидента на </w:t>
      </w:r>
      <w:proofErr w:type="spellStart"/>
      <w:r w:rsidRPr="008A15FF">
        <w:t>упрощенке</w:t>
      </w:r>
      <w:proofErr w:type="spellEnd"/>
      <w:r w:rsidRPr="008A15FF">
        <w:t xml:space="preserve"> отследить все показатели не представляется возможным. Поэтому относительно их оценивается налоговая база, численность, инвестиции в основной капитал.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Льгота считается эффективной, если в отраслях, где она действует, динамика показателей улучшилась.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На втором этапе сравнивают значения финансовых показателей до внедрения налоговых послаблений и – после.</w:t>
      </w:r>
    </w:p>
    <w:p w:rsid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оценки</w:t>
      </w:r>
    </w:p>
    <w:p w:rsidR="008A15FF" w:rsidRPr="008A15FF" w:rsidRDefault="008A15FF" w:rsidP="008A15FF">
      <w:pPr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Оценка эффективности привилегий по сборам предполагает прохождение 2 этапов:</w:t>
      </w:r>
    </w:p>
    <w:p w:rsidR="008A15FF" w:rsidRPr="008A15FF" w:rsidRDefault="008A15FF" w:rsidP="008A1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Определение целесообразности и соответствия ориентирам.</w:t>
      </w:r>
    </w:p>
    <w:p w:rsidR="008A15FF" w:rsidRPr="008A15FF" w:rsidRDefault="008A15FF" w:rsidP="008A1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Оценка эффектов от внедрения налоговых преференций.</w:t>
      </w:r>
    </w:p>
    <w:p w:rsidR="008A15FF" w:rsidRPr="008A15FF" w:rsidRDefault="008A15FF" w:rsidP="008A15FF">
      <w:pPr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Обязательными критериями целесообразности послаблений выступают:</w:t>
      </w:r>
    </w:p>
    <w:p w:rsidR="008A15FF" w:rsidRPr="008A15FF" w:rsidRDefault="008A15FF" w:rsidP="008A15F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соответствие сопутствующих затрат целям и задачам проводимой социально-экономической политики;</w:t>
      </w:r>
    </w:p>
    <w:p w:rsidR="008A15FF" w:rsidRPr="008A15FF" w:rsidRDefault="008A15FF" w:rsidP="008A15F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приемлемые издержки на администрирование налогов, но не более 10% от льготы;</w:t>
      </w:r>
    </w:p>
    <w:p w:rsidR="008A15FF" w:rsidRPr="008A15FF" w:rsidRDefault="008A15FF" w:rsidP="008A15F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5F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A15FF">
        <w:rPr>
          <w:rFonts w:ascii="Times New Roman" w:hAnsi="Times New Roman" w:cs="Times New Roman"/>
          <w:sz w:val="24"/>
          <w:szCs w:val="24"/>
        </w:rPr>
        <w:t xml:space="preserve"> преференции населением и бизнесом;</w:t>
      </w:r>
    </w:p>
    <w:p w:rsidR="008A15FF" w:rsidRPr="008A15FF" w:rsidRDefault="008A15FF" w:rsidP="008A15FF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отсутствие отрицательных эффектов.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Несоответствие указанным критериям говорит о недостаточной целесообразности льготы. Эффективность оценивается отдельно по группе льгот по заданным критериям.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Если льгота признана рациональной хотя бы по двум из трех критериев (бюджетному, социальному и экономическому), то она соответствует параметрам эффективности. В обратном случае делается вывод о ее нерациональности.</w:t>
      </w:r>
    </w:p>
    <w:p w:rsid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A15FF" w:rsidRPr="008A15FF" w:rsidRDefault="008A15FF" w:rsidP="008A1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A15FF">
        <w:rPr>
          <w:rFonts w:ascii="Times New Roman" w:hAnsi="Times New Roman" w:cs="Times New Roman"/>
          <w:bCs w:val="0"/>
          <w:color w:val="auto"/>
          <w:sz w:val="24"/>
          <w:szCs w:val="24"/>
        </w:rPr>
        <w:t>Применение результатов оценки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Ответственная за оценку эффективности инстанция в области, например, Минэкономразвития или Департамент финансовой политики, выносит вердикт по результатам анализа.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Итоговый протокол содержит:</w:t>
      </w:r>
    </w:p>
    <w:p w:rsidR="008A15FF" w:rsidRPr="008A15FF" w:rsidRDefault="008A15FF" w:rsidP="008A15F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список преференций на территории региона;</w:t>
      </w:r>
    </w:p>
    <w:p w:rsidR="008A15FF" w:rsidRPr="008A15FF" w:rsidRDefault="008A15FF" w:rsidP="008A15F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экономические потери от их внедрения;</w:t>
      </w:r>
    </w:p>
    <w:p w:rsidR="008A15FF" w:rsidRPr="008A15FF" w:rsidRDefault="008A15FF" w:rsidP="008A15F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выводы по бюджетной, экономической, социальной эффективности;</w:t>
      </w:r>
    </w:p>
    <w:p w:rsidR="008A15FF" w:rsidRPr="008A15FF" w:rsidRDefault="008A15FF" w:rsidP="008A15FF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предложения по оптимизации.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lastRenderedPageBreak/>
        <w:t>Когда привилегия признана неэффективной, то это служит основанием для отмены господдержки на территории региона или для подготовки предложений по совершенствованию модели реализации.</w:t>
      </w:r>
    </w:p>
    <w:p w:rsidR="008A15FF" w:rsidRPr="008A15FF" w:rsidRDefault="008A15FF" w:rsidP="008A1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На основании результатов оценки может быть:</w:t>
      </w:r>
    </w:p>
    <w:p w:rsidR="008A15FF" w:rsidRPr="008A15FF" w:rsidRDefault="008A15FF" w:rsidP="008A15F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принято решение о продлении преференции (при целесообразности);</w:t>
      </w:r>
    </w:p>
    <w:p w:rsidR="008A15FF" w:rsidRPr="008A15FF" w:rsidRDefault="008A15FF" w:rsidP="008A15F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скорректирован бюджет города или региона;</w:t>
      </w:r>
    </w:p>
    <w:p w:rsidR="008A15FF" w:rsidRPr="008A15FF" w:rsidRDefault="008A15FF" w:rsidP="008A15FF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FF">
        <w:rPr>
          <w:rFonts w:ascii="Times New Roman" w:hAnsi="Times New Roman" w:cs="Times New Roman"/>
          <w:sz w:val="24"/>
          <w:szCs w:val="24"/>
        </w:rPr>
        <w:t>внедрены новые налоговые послабления.</w:t>
      </w:r>
    </w:p>
    <w:p w:rsidR="008A15FF" w:rsidRDefault="008A15FF" w:rsidP="008A1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Федеральные власти на основании поступивших отчетов делают выводы относительно необходимости дотаций регионам.</w:t>
      </w:r>
    </w:p>
    <w:p w:rsidR="008A15FF" w:rsidRPr="008A15FF" w:rsidRDefault="008A15FF" w:rsidP="008A15FF">
      <w:pPr>
        <w:pStyle w:val="a3"/>
        <w:spacing w:before="0" w:beforeAutospacing="0" w:after="183" w:afterAutospacing="0"/>
        <w:ind w:firstLine="709"/>
        <w:jc w:val="both"/>
      </w:pPr>
      <w:r w:rsidRPr="008A15FF">
        <w:t>Для улучшения системы предоставления послаблений на налог регулярно отслеживается их эффективность. Муниципалитеты и субъекты РФ обязаны разработать и утвердить критерии оценки. Анализ осуществляется по группам социальных, экономических и бюджетных групп льгот. На основании оценки принимаются решения о внедрении альтернативной меры господдержки, продлении льготы, изменении ее модели.</w:t>
      </w:r>
    </w:p>
    <w:p w:rsidR="003A0E66" w:rsidRPr="008A15FF" w:rsidRDefault="003A0E66" w:rsidP="008A1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E66" w:rsidRPr="008A15FF" w:rsidSect="003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1A4"/>
    <w:multiLevelType w:val="multilevel"/>
    <w:tmpl w:val="99D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2403B"/>
    <w:multiLevelType w:val="multilevel"/>
    <w:tmpl w:val="8E2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79D9"/>
    <w:multiLevelType w:val="multilevel"/>
    <w:tmpl w:val="990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3448C"/>
    <w:multiLevelType w:val="multilevel"/>
    <w:tmpl w:val="DAD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1EC8"/>
    <w:multiLevelType w:val="multilevel"/>
    <w:tmpl w:val="0BFA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36A0"/>
    <w:multiLevelType w:val="multilevel"/>
    <w:tmpl w:val="D3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3DDE"/>
    <w:multiLevelType w:val="multilevel"/>
    <w:tmpl w:val="733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45BEE"/>
    <w:multiLevelType w:val="multilevel"/>
    <w:tmpl w:val="20D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D5D82"/>
    <w:multiLevelType w:val="multilevel"/>
    <w:tmpl w:val="311C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E06D0"/>
    <w:multiLevelType w:val="multilevel"/>
    <w:tmpl w:val="007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3055B"/>
    <w:multiLevelType w:val="multilevel"/>
    <w:tmpl w:val="2B7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A4008"/>
    <w:multiLevelType w:val="multilevel"/>
    <w:tmpl w:val="752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15FF"/>
    <w:rsid w:val="003A0E66"/>
    <w:rsid w:val="008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66"/>
  </w:style>
  <w:style w:type="paragraph" w:styleId="1">
    <w:name w:val="heading 1"/>
    <w:basedOn w:val="a"/>
    <w:link w:val="10"/>
    <w:uiPriority w:val="9"/>
    <w:qFormat/>
    <w:rsid w:val="008A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A15FF"/>
  </w:style>
  <w:style w:type="character" w:customStyle="1" w:styleId="20">
    <w:name w:val="Заголовок 2 Знак"/>
    <w:basedOn w:val="a0"/>
    <w:link w:val="2"/>
    <w:uiPriority w:val="9"/>
    <w:semiHidden/>
    <w:rsid w:val="008A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A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A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5FF"/>
    <w:rPr>
      <w:color w:val="0000FF"/>
      <w:u w:val="single"/>
    </w:rPr>
  </w:style>
  <w:style w:type="character" w:customStyle="1" w:styleId="tocnumber">
    <w:name w:val="toc_number"/>
    <w:basedOn w:val="a0"/>
    <w:rsid w:val="008A15FF"/>
  </w:style>
  <w:style w:type="character" w:customStyle="1" w:styleId="h-text">
    <w:name w:val="h-text"/>
    <w:basedOn w:val="a0"/>
    <w:rsid w:val="008A15FF"/>
  </w:style>
  <w:style w:type="paragraph" w:customStyle="1" w:styleId="title">
    <w:name w:val="title"/>
    <w:basedOn w:val="a"/>
    <w:rsid w:val="008A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A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9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36180124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13549142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86203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25023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4040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5458206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010570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86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2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7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664948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63381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5495512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63841073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4707573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5779485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95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06788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54122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71/4cada6c7ce0d8a4a287f0eeb6d5c1ed5f4d08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7441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2020-08-27T08:43:00Z</dcterms:created>
  <dcterms:modified xsi:type="dcterms:W3CDTF">2020-08-27T08:46:00Z</dcterms:modified>
</cp:coreProperties>
</file>