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0" w:rsidRDefault="00204340" w:rsidP="00204340">
      <w:pPr>
        <w:spacing w:after="64" w:line="25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04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204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HYPERLINK "https://invalid.expert/nalogovye-lgoty-na-imushhestvo-fizicheskih-lic/" </w:instrText>
      </w:r>
      <w:r w:rsidRPr="00204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  <w:r w:rsidRPr="00204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получения налоговых льгот на имущество физических лиц</w:t>
      </w:r>
      <w:r w:rsidRPr="002043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end"/>
      </w:r>
    </w:p>
    <w:p w:rsidR="00204340" w:rsidRPr="00204340" w:rsidRDefault="00204340" w:rsidP="00204340">
      <w:pPr>
        <w:spacing w:after="64" w:line="25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налогового бремени на недвижимое имущество получили не только граждане, имеющие льготную категорию, но и пенсионеры с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Многодетные семьи претендуют на дополнительный вычет по налогооблагаемой базе, что существенно снизит сумму. Главное — подать заявление в ИФНС, на основании которого оформят преференцию.</w:t>
      </w:r>
    </w:p>
    <w:p w:rsid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 льготы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имеющие во владении недвижимость, должны ежегодно пополнять местный бюджет налогом.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tgtFrame="_blank" w:history="1">
        <w:r w:rsidRPr="0020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401 НК РФ</w:t>
        </w:r>
      </w:hyperlink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берется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340" w:rsidRPr="00204340" w:rsidRDefault="00204340" w:rsidP="0020434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стоящего жилого дома;</w:t>
      </w:r>
    </w:p>
    <w:p w:rsidR="00204340" w:rsidRPr="00204340" w:rsidRDefault="00204340" w:rsidP="0020434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целой квартиры или только доли;</w:t>
      </w:r>
    </w:p>
    <w:p w:rsidR="00204340" w:rsidRPr="00204340" w:rsidRDefault="00204340" w:rsidP="0020434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комнаты;</w:t>
      </w:r>
    </w:p>
    <w:p w:rsidR="00204340" w:rsidRPr="00204340" w:rsidRDefault="00204340" w:rsidP="0020434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гаражной постройки,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340" w:rsidRPr="00204340" w:rsidRDefault="00204340" w:rsidP="0020434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незавершенного строительства и прочего.</w:t>
      </w:r>
    </w:p>
    <w:p w:rsidR="00204340" w:rsidRDefault="00204340" w:rsidP="00204340">
      <w:pPr>
        <w:spacing w:after="1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 сбор на имущество физических лиц. Базой для расчета является кадастровая стоимость помещения. Для объектов, принадлежащих гражданам и не используемых в целях предпринимательства, устанавливается ставка в 0,1% от стоимости </w:t>
      </w:r>
      <w:hyperlink r:id="rId6" w:tgtFrame="_blank" w:history="1">
        <w:r w:rsidRPr="0020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406 НК).</w:t>
        </w:r>
      </w:hyperlink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предоставляет льготу на один объект. Объем преференции равен сумме насчитанного налога. То есть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физлицо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избавляется от уплаты.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освобождения от сбора, предлагается налоговый вычет </w:t>
      </w:r>
      <w:hyperlink r:id="rId7" w:tgtFrame="_blank" w:history="1">
        <w:r w:rsidRPr="0020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403 НК)</w:t>
        </w:r>
      </w:hyperlink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уменьшает базу для расчета по одному объекту. Владелец недвижимости, не имеющий привилегий, может сэкономить за счет вычета. А льготник вправе понизить базу у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равен произведению кадастровой стоимости на вычитаемые из базы квадратные метры:</w:t>
      </w:r>
    </w:p>
    <w:p w:rsidR="00204340" w:rsidRPr="00204340" w:rsidRDefault="00204340" w:rsidP="0020434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20 м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квартиры или оформленной доли жилого дома;</w:t>
      </w:r>
    </w:p>
    <w:p w:rsidR="00204340" w:rsidRPr="00204340" w:rsidRDefault="00204340" w:rsidP="0020434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10 м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доли в квартире или комнаты;</w:t>
      </w:r>
    </w:p>
    <w:p w:rsidR="00204340" w:rsidRPr="00204340" w:rsidRDefault="00204340" w:rsidP="0020434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50 м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всего жилого дома.</w:t>
      </w:r>
    </w:p>
    <w:p w:rsidR="00204340" w:rsidRDefault="00204340" w:rsidP="00204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в дополнение вычеты на каждого несовершеннолетнего, если у родителей их 3-е и больше:</w:t>
      </w:r>
    </w:p>
    <w:p w:rsidR="00204340" w:rsidRPr="00204340" w:rsidRDefault="00204340" w:rsidP="0020434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5 м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всю квартиру, долю в ней или комнату;</w:t>
      </w:r>
    </w:p>
    <w:p w:rsidR="00204340" w:rsidRPr="00204340" w:rsidRDefault="00204340" w:rsidP="00204340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7 м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дом или его часть.</w:t>
      </w:r>
    </w:p>
    <w:p w:rsid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вычета остаток базы будет нулевой или уйдет в минус — платеж не начисляется.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 положена льгота по имущественному налогу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Преференциями вправе воспользоваться (ст. 407 НК):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высшего звания — Героя СССР или Героя России;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отмеченные орденом Славы 3-х степеней;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первых двух групп (I или II);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дети-инвалиды;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с детства;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ветераны происходивших когда-либо войн (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ВОВ), боевых действий по защите Родины;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получающие социальную поддержку как чернобыльцы, подвергшиеся радиационному облучению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«Маяк» или Семипалатинском полигоне;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проходящие военную службу. Льгота полагается тем, кого уволили, с общим периодом службы более 20 лет;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вольнонаемные и военнослужащие, принимавшие прямое участие в испытании ядерного арсенала и ликвидации установок;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родственники военнослужащего, утратившие кормильца;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и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(женщины в возрасте 55 лет, мужчины — 60 лет);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воевавшие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Афгане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странах;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отец, супруг, супруга госслужащего или военнослужащего, отдавших жизнь при выполнении своего долга;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свои частные художественные студии, помещения под пошив и ремонт одежды, музеи, библиотеки, в отношении указанных объектов;</w:t>
      </w:r>
    </w:p>
    <w:p w:rsidR="00204340" w:rsidRPr="00204340" w:rsidRDefault="00204340" w:rsidP="00204340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садоводы и огородники в отношении одной постройки для личных хозяйственных нужд размером не более 50 кв. м.</w:t>
      </w:r>
    </w:p>
    <w:p w:rsidR="00204340" w:rsidRDefault="00204340" w:rsidP="00204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категории освобождаются от уплаты по следующим объектам:</w:t>
      </w:r>
    </w:p>
    <w:p w:rsidR="00204340" w:rsidRPr="00204340" w:rsidRDefault="00204340" w:rsidP="0020434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 всю квартиру, на выделенную долю или комнату;</w:t>
      </w:r>
    </w:p>
    <w:p w:rsidR="00204340" w:rsidRPr="00204340" w:rsidRDefault="00204340" w:rsidP="0020434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жилой дом или только его часть;</w:t>
      </w:r>
    </w:p>
    <w:p w:rsidR="00204340" w:rsidRPr="00204340" w:rsidRDefault="00204340" w:rsidP="0020434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мастерские, ателье, галереи, музеи, студии на период эксплуатации для этих целей;</w:t>
      </w:r>
    </w:p>
    <w:p w:rsidR="00204340" w:rsidRPr="00204340" w:rsidRDefault="00204340" w:rsidP="0020434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хозяйственную постройку на территории частного подсобного хозяйства или индивидуальной застройки размером до 50 кв. м.;</w:t>
      </w:r>
    </w:p>
    <w:p w:rsidR="00204340" w:rsidRPr="00204340" w:rsidRDefault="00204340" w:rsidP="00204340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разметкой места для машин или гараж.</w:t>
      </w:r>
    </w:p>
    <w:p w:rsid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дается на один объект по каждому варианту.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Пенсионер имеет в собственности 2 квартиры. Налог он не будет платить только за одну. Если у пенсионера будет одна квартира и одна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хозпостройка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преференция положена на обе недвижимости.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Муниципалитеты районов могут проявить заботу и лояльность к своим жителям, относящимся к другим социально незащищенным категориям. Региональные законы снимают с них бремя уплаты.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Ярославской области дополнительно предоставлена привилегия (решение муниципалитета г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 № 441 от 27.11.2014 г.) в размере:</w:t>
      </w:r>
    </w:p>
    <w:p w:rsidR="00204340" w:rsidRPr="00204340" w:rsidRDefault="00204340" w:rsidP="0020434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100% — детям и совершеннолетним лицам до 24 лет, которые обучаются на дневной форме и находятся на иждивении пенсионеров;</w:t>
      </w:r>
    </w:p>
    <w:p w:rsidR="00204340" w:rsidRPr="00204340" w:rsidRDefault="00204340" w:rsidP="00204340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60% — собственникам жилья, признанного непригодным или аварийным.</w:t>
      </w:r>
    </w:p>
    <w:p w:rsid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ее получить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преференцией требуется предоставить:</w:t>
      </w:r>
    </w:p>
    <w:p w:rsidR="00204340" w:rsidRPr="00204340" w:rsidRDefault="00204340" w:rsidP="0020434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установленного образца в обязательном порядке;</w:t>
      </w:r>
    </w:p>
    <w:p w:rsidR="00204340" w:rsidRPr="00204340" w:rsidRDefault="00204340" w:rsidP="00204340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привилегию заявителя, по его желанию. Если их не предоставить, сотрудники ИФНС сами найдут нужную информацию.</w:t>
      </w:r>
    </w:p>
    <w:p w:rsid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подачи:</w:t>
      </w:r>
    </w:p>
    <w:p w:rsidR="00204340" w:rsidRPr="00204340" w:rsidRDefault="00204340" w:rsidP="0020434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близлежащей налоговой инспекции.</w:t>
      </w:r>
    </w:p>
    <w:p w:rsidR="00204340" w:rsidRPr="00204340" w:rsidRDefault="00204340" w:rsidP="0020434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центре.</w:t>
      </w:r>
    </w:p>
    <w:p w:rsidR="00204340" w:rsidRPr="00204340" w:rsidRDefault="00204340" w:rsidP="0020434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через личный кабинет сайта ФНС.</w:t>
      </w:r>
    </w:p>
    <w:p w:rsidR="00204340" w:rsidRPr="00204340" w:rsidRDefault="00204340" w:rsidP="00204340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Почтой.</w:t>
      </w:r>
    </w:p>
    <w:p w:rsid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рассматривается налоговиками 30 дней. Если требуется дополнительная информация, срок продлевается на 30 дней, о чем гражданин уведомляется.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результата заявителю направляется уведомление с указанием основания предоставления преференции, объекта и срока необлагаемого периода.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нет даты подачи заявления. Рекомендуется обратиться в ИФНС до 01 мая года, следующего за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рассылки налоговых уведомлений.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выбрать объект для льготы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нескольких вариантов надо предоставить в ИФНС уведомление с указанием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уведомления специальная, можно скачать на сайте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заполнить непосредственно на месте (</w:t>
      </w:r>
      <w:hyperlink r:id="rId8" w:tgtFrame="_blank" w:history="1">
        <w:r w:rsidRPr="0020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ФНС N ММВ-7-11/280@ от 13.07.2015 г.</w:t>
        </w:r>
      </w:hyperlink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информация до 31 декабря. Тогда в следующем году уведомления об уплате налога на выбранный объект не будет.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забудет выбрать, за него это сделают работники ИФНС. Они выделят вариант, где уплата в бюджет будет наибольшая, и освободят от бремени.</w:t>
      </w: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сроке применения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есть строка «Срок предоставления налоговой льготы» и варианты выбора:</w:t>
      </w:r>
    </w:p>
    <w:p w:rsidR="00204340" w:rsidRPr="00204340" w:rsidRDefault="00204340" w:rsidP="00204340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 После первого визита ежегодное подтверждение не требуется. Преференция автоматически перейдет на следующий налоговый период.</w:t>
      </w:r>
    </w:p>
    <w:p w:rsidR="00204340" w:rsidRPr="00204340" w:rsidRDefault="00204340" w:rsidP="00204340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срока: начало и конец периода. Связано с тем, что по истечении этого времени условия, предоставляющие привилегию, закончатся.</w:t>
      </w:r>
    </w:p>
    <w:p w:rsidR="00204340" w:rsidRDefault="00204340" w:rsidP="00204340">
      <w:pPr>
        <w:spacing w:after="1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ставить никаких отметок, работники ИФНС зачтут период как бессрочный, и льгота пролонгируется на следующий год.</w:t>
      </w:r>
    </w:p>
    <w:p w:rsid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проверить, учтена ли льгота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придет налоговое уведомление надо обратить внимание на две графы:</w:t>
      </w:r>
    </w:p>
    <w:p w:rsidR="00204340" w:rsidRPr="00204340" w:rsidRDefault="00204340" w:rsidP="0020434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«Размер налоговых льгот».</w:t>
      </w:r>
    </w:p>
    <w:p w:rsidR="00204340" w:rsidRPr="00204340" w:rsidRDefault="00204340" w:rsidP="00204340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«Налоговый вычет».</w:t>
      </w:r>
    </w:p>
    <w:p w:rsidR="00204340" w:rsidRDefault="00204340" w:rsidP="00204340">
      <w:pPr>
        <w:spacing w:after="1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там пусто, нет цифр,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преференция не учтена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проверить информацию в «Личном кабинете налогоплательщика».</w:t>
      </w: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делать, если ее не применили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право на освобождение возникло недавно, а новоиспеченный льготник не обращался в ИФНС, стоит собрать все документы с заявлением и предоставить их в структуру удобным способом. Работники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имеют полную информацию о новых гражданах, получивших привилегию.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выяснилось, что россиянин давно имеет право на освобождение, но не знал об этом и платил, он может оформить возврат переплаченных средств за последние 3 года </w:t>
      </w:r>
      <w:hyperlink r:id="rId9" w:tgtFrame="_blank" w:history="1">
        <w:r w:rsidRPr="0020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78 НК РФ).</w:t>
        </w:r>
      </w:hyperlink>
    </w:p>
    <w:p w:rsid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before="215" w:after="107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налоговых льгот на квартиру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заполняется по форме, установленной приказом ФНС N ММВ-7-21/897@ от 14.11.2017 г. Чистый бланк можно скачать на сайте ФНС или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его предоставят на месте при обращении.</w:t>
      </w:r>
    </w:p>
    <w:p w:rsidR="00204340" w:rsidRPr="00204340" w:rsidRDefault="00204340" w:rsidP="0020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требования: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ручкой черного цвета;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забивать на компьютере шрифтом «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CourierNew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размер 16 — 18;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ошибок, опечаток, зачеркиваний,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замазываний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корректором;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применять двустороннюю печать. Только с одной стороны;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вписываются, начиная слева и двигаясь вправо;</w:t>
      </w:r>
    </w:p>
    <w:p w:rsidR="00204340" w:rsidRPr="00204340" w:rsidRDefault="00204340" w:rsidP="00204340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написании от руки буквы заглавные печатные.</w:t>
      </w:r>
    </w:p>
    <w:p w:rsid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состоит из титульного листа, раздела на транспортный налог, на земельный и на имущественный.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только </w:t>
      </w:r>
      <w:proofErr w:type="spell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титульник</w:t>
      </w:r>
      <w:proofErr w:type="spell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 на имущество, по образцу.</w:t>
      </w:r>
    </w:p>
    <w:p w:rsidR="00204340" w:rsidRPr="00204340" w:rsidRDefault="00204340" w:rsidP="00204340">
      <w:pPr>
        <w:spacing w:after="18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за расчетную базу берется не инвентаризационная стоимость, а кадастровая. </w:t>
      </w:r>
      <w:proofErr w:type="gramStart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20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ближе по размеру к рыночной цене, чем инвентаризационная, что увеличивает и сам налог. Россиянам стоит внимательно изучить местные законы, чтобы узнать, претендуют ли они на послабления по имущественному сбору или нет.</w:t>
      </w:r>
    </w:p>
    <w:p w:rsidR="00384525" w:rsidRPr="00204340" w:rsidRDefault="00384525" w:rsidP="00204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525" w:rsidRPr="00204340" w:rsidSect="0038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EE"/>
    <w:multiLevelType w:val="multilevel"/>
    <w:tmpl w:val="F5B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370"/>
    <w:multiLevelType w:val="multilevel"/>
    <w:tmpl w:val="79D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0282"/>
    <w:multiLevelType w:val="multilevel"/>
    <w:tmpl w:val="D2C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F2F09"/>
    <w:multiLevelType w:val="multilevel"/>
    <w:tmpl w:val="5FAE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00A19"/>
    <w:multiLevelType w:val="multilevel"/>
    <w:tmpl w:val="20A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73182"/>
    <w:multiLevelType w:val="multilevel"/>
    <w:tmpl w:val="1E3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43C83"/>
    <w:multiLevelType w:val="multilevel"/>
    <w:tmpl w:val="619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D2DD4"/>
    <w:multiLevelType w:val="multilevel"/>
    <w:tmpl w:val="9E3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A325E"/>
    <w:multiLevelType w:val="multilevel"/>
    <w:tmpl w:val="D6F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50EDE"/>
    <w:multiLevelType w:val="multilevel"/>
    <w:tmpl w:val="15F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922F9"/>
    <w:multiLevelType w:val="multilevel"/>
    <w:tmpl w:val="B79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37157"/>
    <w:multiLevelType w:val="multilevel"/>
    <w:tmpl w:val="64B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4340"/>
    <w:rsid w:val="00204340"/>
    <w:rsid w:val="003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25"/>
  </w:style>
  <w:style w:type="paragraph" w:styleId="2">
    <w:name w:val="heading 2"/>
    <w:basedOn w:val="a"/>
    <w:link w:val="20"/>
    <w:uiPriority w:val="9"/>
    <w:qFormat/>
    <w:rsid w:val="00204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04340"/>
  </w:style>
  <w:style w:type="character" w:customStyle="1" w:styleId="h-text">
    <w:name w:val="h-text"/>
    <w:basedOn w:val="a0"/>
    <w:rsid w:val="00204340"/>
  </w:style>
  <w:style w:type="paragraph" w:customStyle="1" w:styleId="title">
    <w:name w:val="title"/>
    <w:basedOn w:val="a"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20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12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638591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72521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798839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281351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797058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087137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0239241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50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12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105720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212082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597624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284422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3025081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65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852634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3826757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0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aa6ac7fd13de524fc94819a27cb41d1f970e57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3de6221d2f44e19974752cf8651984a48691ea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404626c621255e12b76d7d661be99292fc859c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671/fbacbcfd4debdc278494b8260675cc5f93f4a2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7376</Characters>
  <Application>Microsoft Office Word</Application>
  <DocSecurity>0</DocSecurity>
  <Lines>61</Lines>
  <Paragraphs>17</Paragraphs>
  <ScaleCrop>false</ScaleCrop>
  <Company>ООО "МОК-Центр"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2020-08-27T08:50:00Z</dcterms:created>
  <dcterms:modified xsi:type="dcterms:W3CDTF">2020-08-27T08:53:00Z</dcterms:modified>
</cp:coreProperties>
</file>